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C0" w:rsidRPr="00462521" w:rsidRDefault="00FA3CC0" w:rsidP="00FA3CC0">
      <w:pPr>
        <w:pStyle w:val="BodyText2"/>
        <w:spacing w:before="60"/>
        <w:rPr>
          <w:sz w:val="24"/>
          <w:lang w:val="sv-SE"/>
        </w:rPr>
      </w:pPr>
      <w:bookmarkStart w:id="0" w:name="_GoBack"/>
      <w:bookmarkEnd w:id="0"/>
      <w:r w:rsidRPr="00C348EE">
        <w:rPr>
          <w:sz w:val="24"/>
          <w:lang w:val="es"/>
        </w:rPr>
        <w:t>Hoja informativa</w:t>
      </w:r>
    </w:p>
    <w:p w:rsidR="00FA3CC0" w:rsidRPr="00462521" w:rsidRDefault="00FA3CC0" w:rsidP="00FA3CC0">
      <w:pPr>
        <w:pStyle w:val="BodyText2"/>
        <w:spacing w:before="60"/>
        <w:rPr>
          <w:sz w:val="24"/>
          <w:lang w:val="sv-SE"/>
        </w:rPr>
      </w:pPr>
      <w:r w:rsidRPr="00C348EE">
        <w:rPr>
          <w:sz w:val="24"/>
          <w:lang w:val="es"/>
        </w:rPr>
        <w:t>Plomo en el agua potable</w:t>
      </w:r>
    </w:p>
    <w:p w:rsidR="00FA3CC0" w:rsidRPr="00C348EE" w:rsidRDefault="00462521" w:rsidP="00FA3CC0">
      <w:pPr>
        <w:pStyle w:val="Heading2"/>
        <w:rPr>
          <w:rFonts w:ascii="Times New Roman" w:eastAsiaTheme="minorHAnsi" w:hAnsi="Times New Roman" w:cs="Times New Roman"/>
          <w:color w:val="auto"/>
          <w:sz w:val="22"/>
          <w:szCs w:val="20"/>
        </w:rPr>
      </w:pPr>
      <w:proofErr w:type="spellStart"/>
      <w:r>
        <w:rPr>
          <w:rFonts w:ascii="Times New Roman" w:eastAsiaTheme="minorHAnsi" w:hAnsi="Times New Roman" w:cs="Times New Roman"/>
          <w:color w:val="auto"/>
          <w:sz w:val="22"/>
          <w:szCs w:val="20"/>
          <w:lang w:val="es"/>
        </w:rPr>
        <w:t>May</w:t>
      </w:r>
      <w:proofErr w:type="spellEnd"/>
      <w:r w:rsidR="00FA3CC0" w:rsidRPr="00C348EE">
        <w:rPr>
          <w:rFonts w:ascii="Times New Roman" w:eastAsiaTheme="minorHAnsi" w:hAnsi="Times New Roman" w:cs="Times New Roman"/>
          <w:color w:val="auto"/>
          <w:sz w:val="22"/>
          <w:szCs w:val="20"/>
          <w:lang w:val="es"/>
        </w:rPr>
        <w:t xml:space="preserve"> 2016</w:t>
      </w:r>
      <w:r>
        <w:rPr>
          <w:rFonts w:ascii="Times New Roman" w:eastAsiaTheme="minorHAnsi" w:hAnsi="Times New Roman" w:cs="Times New Roman"/>
          <w:color w:val="auto"/>
          <w:sz w:val="22"/>
          <w:szCs w:val="20"/>
          <w:lang w:val="es"/>
        </w:rPr>
        <w:t xml:space="preserve"> </w:t>
      </w:r>
      <w:proofErr w:type="spellStart"/>
      <w:r>
        <w:rPr>
          <w:rFonts w:ascii="Times New Roman" w:eastAsiaTheme="minorHAnsi" w:hAnsi="Times New Roman" w:cs="Times New Roman"/>
          <w:color w:val="auto"/>
          <w:sz w:val="22"/>
          <w:szCs w:val="20"/>
          <w:lang w:val="es"/>
        </w:rPr>
        <w:t>Spanish</w:t>
      </w:r>
      <w:proofErr w:type="spellEnd"/>
    </w:p>
    <w:p w:rsidR="00FA3CC0" w:rsidRPr="00C348EE" w:rsidRDefault="00FA3CC0" w:rsidP="00FA3CC0">
      <w:pPr>
        <w:rPr>
          <w:rFonts w:ascii="Times New Roman" w:hAnsi="Times New Roman" w:cs="Times New Roman"/>
          <w:szCs w:val="20"/>
        </w:rPr>
      </w:pPr>
      <w:r w:rsidRPr="00C348EE">
        <w:rPr>
          <w:rFonts w:ascii="Times New Roman" w:hAnsi="Times New Roman" w:cs="Times New Roman"/>
          <w:szCs w:val="20"/>
          <w:lang w:val="es"/>
        </w:rPr>
        <w:t>DOH 331-177 Revisado</w:t>
      </w:r>
    </w:p>
    <w:p w:rsidR="00FA3CC0" w:rsidRPr="00C348EE" w:rsidRDefault="00FA3CC0">
      <w:pPr>
        <w:rPr>
          <w:rFonts w:ascii="Arial" w:eastAsia="Times New Roman" w:hAnsi="Arial" w:cs="Arial"/>
          <w:b/>
          <w:bCs/>
          <w:sz w:val="24"/>
          <w:szCs w:val="24"/>
        </w:rPr>
      </w:pPr>
    </w:p>
    <w:p w:rsidR="00FA3CC0" w:rsidRPr="00C348EE" w:rsidRDefault="00FA3CC0" w:rsidP="00FA3CC0">
      <w:pPr>
        <w:pStyle w:val="Heading3"/>
        <w:spacing w:before="0" w:after="0"/>
        <w:rPr>
          <w:sz w:val="24"/>
          <w:szCs w:val="24"/>
        </w:rPr>
      </w:pPr>
      <w:r w:rsidRPr="00C348EE">
        <w:rPr>
          <w:sz w:val="24"/>
          <w:szCs w:val="24"/>
          <w:lang w:val="es"/>
        </w:rPr>
        <w:t>Cómo llega el plomo al agua</w:t>
      </w:r>
    </w:p>
    <w:p w:rsidR="00FA3CC0" w:rsidRPr="00C348EE" w:rsidRDefault="00FA3CC0" w:rsidP="00607AFB">
      <w:pPr>
        <w:pStyle w:val="BodyText"/>
        <w:spacing w:after="240"/>
        <w:rPr>
          <w:rFonts w:ascii="Times New Roman" w:hAnsi="Times New Roman" w:cs="Times New Roman"/>
          <w:szCs w:val="20"/>
        </w:rPr>
      </w:pPr>
      <w:r w:rsidRPr="00C348EE">
        <w:rPr>
          <w:rFonts w:ascii="Times New Roman" w:hAnsi="Times New Roman" w:cs="Times New Roman"/>
          <w:szCs w:val="20"/>
          <w:lang w:val="es"/>
        </w:rPr>
        <w:t>El plomo presente en el agua potable generalmente llega al agua a través de los sistemas de distribución de agua o de las tuberías domésticas, y no desde lagos, pozos o arroyos. La mayor parte de la exposición al plomo proviene del polvo y los pedacitos de pintura derivados de la eliminación de pintura a base de plomo de interiores y exteriores, del suelo contaminado con plomo, de fuentes industriales, y de materiales que contienen plomo utilizados en ocupaciones o pasatiempos de los padres. El plomo proveniente de todas estas fuentes contribuye a la exposición general al plomo de una persona.</w:t>
      </w:r>
    </w:p>
    <w:p w:rsidR="00FA3CC0" w:rsidRPr="00C348EE" w:rsidRDefault="00FA3CC0" w:rsidP="00607AFB">
      <w:pPr>
        <w:pStyle w:val="Heading3"/>
        <w:spacing w:before="0" w:after="0"/>
        <w:rPr>
          <w:sz w:val="24"/>
          <w:szCs w:val="24"/>
        </w:rPr>
      </w:pPr>
      <w:r w:rsidRPr="00C348EE">
        <w:rPr>
          <w:sz w:val="24"/>
          <w:szCs w:val="24"/>
          <w:lang w:val="es"/>
        </w:rPr>
        <w:t>Cómo medir el plomo en el agua potable</w:t>
      </w:r>
    </w:p>
    <w:p w:rsidR="00FA3CC0" w:rsidRPr="00C348EE" w:rsidRDefault="00FA3CC0" w:rsidP="00607AFB">
      <w:pPr>
        <w:pStyle w:val="BodyText"/>
        <w:spacing w:after="240"/>
        <w:rPr>
          <w:rFonts w:ascii="Times New Roman" w:hAnsi="Times New Roman" w:cs="Times New Roman"/>
          <w:szCs w:val="20"/>
        </w:rPr>
      </w:pPr>
      <w:r w:rsidRPr="00C348EE">
        <w:rPr>
          <w:rFonts w:ascii="Times New Roman" w:hAnsi="Times New Roman" w:cs="Times New Roman"/>
          <w:szCs w:val="20"/>
          <w:lang w:val="es"/>
        </w:rPr>
        <w:t>Es posible que el agua potable de su casa contenga plomo en los siguientes casos:</w:t>
      </w:r>
    </w:p>
    <w:p w:rsidR="00FA3CC0" w:rsidRPr="00462521" w:rsidRDefault="00FA3CC0" w:rsidP="0081367F">
      <w:pPr>
        <w:pStyle w:val="BodyText"/>
        <w:numPr>
          <w:ilvl w:val="0"/>
          <w:numId w:val="8"/>
        </w:numPr>
        <w:spacing w:after="0" w:line="240" w:lineRule="auto"/>
        <w:rPr>
          <w:rFonts w:ascii="Times New Roman" w:hAnsi="Times New Roman" w:cs="Times New Roman"/>
          <w:szCs w:val="20"/>
          <w:lang w:val="sv-SE"/>
        </w:rPr>
      </w:pPr>
      <w:r w:rsidRPr="00C348EE">
        <w:rPr>
          <w:rFonts w:ascii="Times New Roman" w:hAnsi="Times New Roman" w:cs="Times New Roman"/>
          <w:szCs w:val="20"/>
          <w:lang w:val="es"/>
        </w:rPr>
        <w:t>En su casa o en el sistema de agua de su comunidad, existen tuberías de plomo o acero galvanizado, accesorios de bronce o conectores de plomo.</w:t>
      </w:r>
    </w:p>
    <w:p w:rsidR="00FA3CC0" w:rsidRPr="00462521" w:rsidRDefault="00021BB9" w:rsidP="0081367F">
      <w:pPr>
        <w:pStyle w:val="BodyText"/>
        <w:numPr>
          <w:ilvl w:val="0"/>
          <w:numId w:val="8"/>
        </w:numPr>
        <w:spacing w:after="0" w:line="240" w:lineRule="auto"/>
        <w:rPr>
          <w:rFonts w:ascii="Times New Roman" w:hAnsi="Times New Roman" w:cs="Times New Roman"/>
          <w:szCs w:val="20"/>
          <w:lang w:val="sv-SE"/>
        </w:rPr>
      </w:pPr>
      <w:r w:rsidRPr="00C348EE">
        <w:rPr>
          <w:rFonts w:ascii="Times New Roman" w:hAnsi="Times New Roman" w:cs="Times New Roman"/>
          <w:szCs w:val="20"/>
          <w:lang w:val="es"/>
        </w:rPr>
        <w:t>Su casa fue construida antes de 1986.  Las casas más antiguas pueden contener soldaduras de plomo o materiales de cañerías de plomo.</w:t>
      </w:r>
    </w:p>
    <w:p w:rsidR="00FA3CC0" w:rsidRPr="00C348EE" w:rsidRDefault="00FA3CC0" w:rsidP="0081367F">
      <w:pPr>
        <w:pStyle w:val="BodyText"/>
        <w:numPr>
          <w:ilvl w:val="0"/>
          <w:numId w:val="8"/>
        </w:numPr>
        <w:spacing w:after="0" w:line="240" w:lineRule="auto"/>
        <w:rPr>
          <w:rFonts w:ascii="Times New Roman" w:hAnsi="Times New Roman" w:cs="Times New Roman"/>
          <w:szCs w:val="20"/>
        </w:rPr>
      </w:pPr>
      <w:r w:rsidRPr="00C348EE">
        <w:rPr>
          <w:rFonts w:ascii="Times New Roman" w:hAnsi="Times New Roman" w:cs="Times New Roman"/>
          <w:szCs w:val="20"/>
          <w:lang w:val="es"/>
        </w:rPr>
        <w:t>Tiene agua blanda (con bajo contenido de minerales) o agua ácida.</w:t>
      </w:r>
    </w:p>
    <w:p w:rsidR="00EC7CCF" w:rsidRPr="00C348EE" w:rsidRDefault="00EC7CCF" w:rsidP="00EC7CCF">
      <w:pPr>
        <w:pStyle w:val="BodyText"/>
        <w:spacing w:after="0" w:line="240" w:lineRule="auto"/>
        <w:ind w:left="360"/>
        <w:rPr>
          <w:rFonts w:ascii="Times New Roman" w:hAnsi="Times New Roman" w:cs="Times New Roman"/>
          <w:szCs w:val="20"/>
        </w:rPr>
      </w:pPr>
    </w:p>
    <w:p w:rsidR="00FA3CC0" w:rsidRPr="00462521" w:rsidRDefault="00FA3CC0" w:rsidP="00A217ED">
      <w:pPr>
        <w:pStyle w:val="BodyText"/>
        <w:spacing w:after="240"/>
        <w:rPr>
          <w:rFonts w:ascii="Times New Roman" w:hAnsi="Times New Roman" w:cs="Times New Roman"/>
          <w:szCs w:val="20"/>
          <w:lang w:val="es"/>
        </w:rPr>
      </w:pPr>
      <w:r w:rsidRPr="00C348EE">
        <w:rPr>
          <w:rFonts w:ascii="Times New Roman" w:hAnsi="Times New Roman" w:cs="Times New Roman"/>
          <w:szCs w:val="20"/>
          <w:lang w:val="es"/>
        </w:rPr>
        <w:t>La única forma de conocer la cantidad de plomo presente en el agua de su casa es realizar una prueba al agua. Muchos laboratorios certificados de Washington realizan estas pruebas con un costo de $20 a $40 por prueba. Para obtener el nombre de un laboratorio certificado de agua potable cerca de su domicilio, consulte la lista de laboratorios acreditados del Department of Ecology (Departamento de Ecología) (el enlace a la lista se encuentra en la página 2).</w:t>
      </w:r>
    </w:p>
    <w:p w:rsidR="00FA3CC0" w:rsidRPr="00C348EE" w:rsidRDefault="00FA3CC0" w:rsidP="00FA3CC0">
      <w:pPr>
        <w:pStyle w:val="Heading3"/>
        <w:spacing w:after="0"/>
        <w:rPr>
          <w:sz w:val="24"/>
          <w:szCs w:val="24"/>
        </w:rPr>
      </w:pPr>
      <w:r w:rsidRPr="00C348EE">
        <w:rPr>
          <w:sz w:val="24"/>
          <w:szCs w:val="24"/>
          <w:lang w:val="es"/>
        </w:rPr>
        <w:t>Reglamentaciones sobre el agua potable</w:t>
      </w:r>
    </w:p>
    <w:p w:rsidR="00FA3CC0" w:rsidRPr="00C348EE" w:rsidRDefault="00FA3CC0" w:rsidP="00A217ED">
      <w:pPr>
        <w:pStyle w:val="BodyText"/>
        <w:spacing w:after="0" w:line="240" w:lineRule="auto"/>
        <w:rPr>
          <w:rFonts w:ascii="Times New Roman" w:hAnsi="Times New Roman" w:cs="Times New Roman"/>
          <w:szCs w:val="20"/>
        </w:rPr>
      </w:pPr>
      <w:r w:rsidRPr="00C348EE">
        <w:rPr>
          <w:rFonts w:ascii="Times New Roman" w:hAnsi="Times New Roman" w:cs="Times New Roman"/>
          <w:szCs w:val="20"/>
          <w:lang w:val="es"/>
        </w:rPr>
        <w:t>Los sistemas de agua públicos deben cumplir los siguientes requisitos:</w:t>
      </w:r>
    </w:p>
    <w:p w:rsidR="00FA3CC0" w:rsidRPr="00C348EE" w:rsidRDefault="00FA3CC0" w:rsidP="00FA3CC0">
      <w:pPr>
        <w:pStyle w:val="BodyText"/>
        <w:numPr>
          <w:ilvl w:val="0"/>
          <w:numId w:val="4"/>
        </w:numPr>
        <w:spacing w:after="0" w:line="240" w:lineRule="auto"/>
        <w:rPr>
          <w:rFonts w:ascii="Times New Roman" w:hAnsi="Times New Roman" w:cs="Times New Roman"/>
          <w:szCs w:val="20"/>
        </w:rPr>
      </w:pPr>
      <w:r w:rsidRPr="00C348EE">
        <w:rPr>
          <w:rFonts w:ascii="Times New Roman" w:hAnsi="Times New Roman" w:cs="Times New Roman"/>
          <w:szCs w:val="20"/>
          <w:lang w:val="es"/>
        </w:rPr>
        <w:t>Tomar muestras de las casas de los clientes, en especial, las casas que contienen materiales de cañerías de plomo.</w:t>
      </w:r>
    </w:p>
    <w:p w:rsidR="00FA3CC0" w:rsidRPr="00462521" w:rsidRDefault="00FA3CC0" w:rsidP="00FA3CC0">
      <w:pPr>
        <w:pStyle w:val="BodyText"/>
        <w:numPr>
          <w:ilvl w:val="0"/>
          <w:numId w:val="4"/>
        </w:numPr>
        <w:spacing w:after="0" w:line="240" w:lineRule="auto"/>
        <w:rPr>
          <w:rFonts w:ascii="Times New Roman" w:hAnsi="Times New Roman" w:cs="Times New Roman"/>
          <w:szCs w:val="20"/>
          <w:lang w:val="sv-SE"/>
        </w:rPr>
      </w:pPr>
      <w:r w:rsidRPr="00C348EE">
        <w:rPr>
          <w:rFonts w:ascii="Times New Roman" w:hAnsi="Times New Roman" w:cs="Times New Roman"/>
          <w:szCs w:val="20"/>
          <w:lang w:val="es"/>
        </w:rPr>
        <w:t>Tratar el agua cuando más del 10 % de las muestras superan el nivel de acción (0.015 partes por millón).</w:t>
      </w:r>
    </w:p>
    <w:p w:rsidR="00FA3CC0" w:rsidRPr="00462521" w:rsidRDefault="00FA3CC0" w:rsidP="00FA3CC0">
      <w:pPr>
        <w:pStyle w:val="BodyText"/>
        <w:numPr>
          <w:ilvl w:val="0"/>
          <w:numId w:val="4"/>
        </w:numPr>
        <w:spacing w:after="0" w:line="240" w:lineRule="auto"/>
        <w:rPr>
          <w:rFonts w:ascii="Times New Roman" w:hAnsi="Times New Roman" w:cs="Times New Roman"/>
          <w:szCs w:val="20"/>
          <w:lang w:val="sv-SE"/>
        </w:rPr>
      </w:pPr>
      <w:r w:rsidRPr="00C348EE">
        <w:rPr>
          <w:rFonts w:ascii="Times New Roman" w:hAnsi="Times New Roman" w:cs="Times New Roman"/>
          <w:szCs w:val="20"/>
          <w:lang w:val="es"/>
        </w:rPr>
        <w:t>Brindar educación pública anual a todos los consumidores cuando más del 10 % de las muestras superan el nivel de acción de plomo.</w:t>
      </w:r>
    </w:p>
    <w:p w:rsidR="00FA3CC0" w:rsidRPr="00462521" w:rsidRDefault="00FA3CC0" w:rsidP="00FA3CC0">
      <w:pPr>
        <w:pStyle w:val="Heading3"/>
        <w:spacing w:before="0" w:after="0"/>
        <w:rPr>
          <w:sz w:val="24"/>
          <w:szCs w:val="24"/>
          <w:lang w:val="sv-SE"/>
        </w:rPr>
      </w:pPr>
    </w:p>
    <w:p w:rsidR="00FA3CC0" w:rsidRPr="00C348EE" w:rsidRDefault="00FA3CC0" w:rsidP="00FA3CC0">
      <w:pPr>
        <w:pStyle w:val="Heading3"/>
        <w:spacing w:before="0" w:after="0"/>
        <w:rPr>
          <w:sz w:val="24"/>
          <w:szCs w:val="24"/>
        </w:rPr>
      </w:pPr>
      <w:r w:rsidRPr="00C348EE">
        <w:rPr>
          <w:sz w:val="24"/>
          <w:szCs w:val="24"/>
          <w:lang w:val="es"/>
        </w:rPr>
        <w:t>Cómo reducir la exposición al plomo del agua potable</w:t>
      </w:r>
    </w:p>
    <w:p w:rsidR="00FA3CC0" w:rsidRPr="00C348EE" w:rsidRDefault="00FA3CC0" w:rsidP="00FA3CC0">
      <w:pPr>
        <w:pStyle w:val="BodyText"/>
        <w:spacing w:after="60"/>
        <w:rPr>
          <w:rFonts w:ascii="Times New Roman" w:hAnsi="Times New Roman" w:cs="Times New Roman"/>
          <w:szCs w:val="20"/>
        </w:rPr>
      </w:pPr>
      <w:r w:rsidRPr="00C348EE">
        <w:rPr>
          <w:rFonts w:ascii="Times New Roman" w:hAnsi="Times New Roman" w:cs="Times New Roman"/>
          <w:szCs w:val="20"/>
          <w:lang w:val="es"/>
        </w:rPr>
        <w:t>A continuación se indican algunas formas de reducir el plomo en el agua potable de la casa:</w:t>
      </w:r>
    </w:p>
    <w:p w:rsidR="00080F42" w:rsidRPr="00462521" w:rsidRDefault="00FA3CC0" w:rsidP="00080F42">
      <w:pPr>
        <w:pStyle w:val="BodyText"/>
        <w:numPr>
          <w:ilvl w:val="0"/>
          <w:numId w:val="4"/>
        </w:numPr>
        <w:spacing w:after="0" w:line="240" w:lineRule="auto"/>
        <w:rPr>
          <w:rFonts w:ascii="Times New Roman" w:hAnsi="Times New Roman" w:cs="Times New Roman"/>
          <w:szCs w:val="20"/>
          <w:lang w:val="es"/>
        </w:rPr>
      </w:pPr>
      <w:r w:rsidRPr="00C348EE">
        <w:rPr>
          <w:rFonts w:ascii="Times New Roman" w:hAnsi="Times New Roman" w:cs="Times New Roman"/>
          <w:szCs w:val="20"/>
          <w:lang w:val="es"/>
        </w:rPr>
        <w:t>Si vive en una casa construida antes de mediados de la década de los cuarenta, deje abierto el grifo durante 2 minutos, como mínimo, después de que el agua ha estado almacenada en las tuberías durante 6 horas o más. Cuanto más tiempo está el agua en las tuberías de la casa, más plomo y otros metales disueltos puede contener el agua.</w:t>
      </w:r>
    </w:p>
    <w:p w:rsidR="00C348EE" w:rsidRPr="00462521" w:rsidRDefault="00C348EE">
      <w:pPr>
        <w:rPr>
          <w:rFonts w:ascii="Times New Roman" w:hAnsi="Times New Roman" w:cs="Times New Roman"/>
          <w:szCs w:val="20"/>
          <w:lang w:val="es"/>
        </w:rPr>
      </w:pPr>
      <w:r w:rsidRPr="00462521">
        <w:rPr>
          <w:rFonts w:ascii="Times New Roman" w:hAnsi="Times New Roman" w:cs="Times New Roman"/>
          <w:szCs w:val="20"/>
          <w:lang w:val="es"/>
        </w:rPr>
        <w:br w:type="page"/>
      </w:r>
    </w:p>
    <w:p w:rsidR="00FA3CC0" w:rsidRPr="00462521" w:rsidRDefault="00FA3CC0" w:rsidP="00FA3CC0">
      <w:pPr>
        <w:pStyle w:val="BodyText"/>
        <w:numPr>
          <w:ilvl w:val="0"/>
          <w:numId w:val="4"/>
        </w:numPr>
        <w:spacing w:after="0" w:line="240" w:lineRule="auto"/>
        <w:rPr>
          <w:rFonts w:ascii="Times New Roman" w:hAnsi="Times New Roman" w:cs="Times New Roman"/>
          <w:szCs w:val="20"/>
          <w:lang w:val="es"/>
        </w:rPr>
      </w:pPr>
      <w:r w:rsidRPr="00C348EE">
        <w:rPr>
          <w:rFonts w:ascii="Times New Roman" w:hAnsi="Times New Roman" w:cs="Times New Roman"/>
          <w:szCs w:val="20"/>
          <w:lang w:val="es"/>
        </w:rPr>
        <w:lastRenderedPageBreak/>
        <w:t>Si vive en una casa más nueva y le preocupa el plomo, purgue las tuberías dejando abierto el grifo hasta que el agua esté notablemente más fría.</w:t>
      </w:r>
    </w:p>
    <w:p w:rsidR="00FA3CC0" w:rsidRPr="00462521" w:rsidRDefault="00FA3CC0" w:rsidP="00FA3CC0">
      <w:pPr>
        <w:pStyle w:val="BodyText"/>
        <w:numPr>
          <w:ilvl w:val="0"/>
          <w:numId w:val="4"/>
        </w:numPr>
        <w:spacing w:after="0" w:line="240" w:lineRule="auto"/>
        <w:rPr>
          <w:rFonts w:ascii="Times New Roman" w:hAnsi="Times New Roman" w:cs="Times New Roman"/>
          <w:szCs w:val="20"/>
          <w:lang w:val="es"/>
        </w:rPr>
      </w:pPr>
      <w:r w:rsidRPr="00C348EE">
        <w:rPr>
          <w:rFonts w:ascii="Times New Roman" w:hAnsi="Times New Roman" w:cs="Times New Roman"/>
          <w:szCs w:val="20"/>
          <w:lang w:val="es"/>
        </w:rPr>
        <w:t>Utilice solo agua fría para beber, cocinar y preparar leche para bebés. El agua caliente es más corrosiva y puede contener niveles más elevados de plomo.</w:t>
      </w:r>
    </w:p>
    <w:p w:rsidR="00FA3CC0" w:rsidRPr="00C348EE" w:rsidRDefault="00FA3CC0" w:rsidP="00FA3CC0">
      <w:pPr>
        <w:pStyle w:val="BodyText"/>
        <w:numPr>
          <w:ilvl w:val="0"/>
          <w:numId w:val="4"/>
        </w:numPr>
        <w:spacing w:after="0" w:line="240" w:lineRule="auto"/>
        <w:rPr>
          <w:rFonts w:ascii="Times New Roman" w:hAnsi="Times New Roman" w:cs="Times New Roman"/>
          <w:szCs w:val="20"/>
        </w:rPr>
      </w:pPr>
      <w:r w:rsidRPr="00C348EE">
        <w:rPr>
          <w:rFonts w:ascii="Times New Roman" w:hAnsi="Times New Roman" w:cs="Times New Roman"/>
          <w:szCs w:val="20"/>
          <w:lang w:val="es"/>
        </w:rPr>
        <w:t>Limpie las rejillas y los aireadores de los grifos con frecuencia para eliminar las partículas de plomo capturadas.</w:t>
      </w:r>
    </w:p>
    <w:p w:rsidR="00FA3CC0" w:rsidRPr="00C348EE" w:rsidRDefault="00FA3CC0" w:rsidP="00FA3CC0">
      <w:pPr>
        <w:pStyle w:val="BodyText"/>
        <w:numPr>
          <w:ilvl w:val="0"/>
          <w:numId w:val="4"/>
        </w:numPr>
        <w:spacing w:after="0" w:line="240" w:lineRule="auto"/>
        <w:rPr>
          <w:rFonts w:ascii="Times New Roman" w:hAnsi="Times New Roman" w:cs="Times New Roman"/>
          <w:szCs w:val="20"/>
        </w:rPr>
      </w:pPr>
      <w:r w:rsidRPr="00C348EE">
        <w:rPr>
          <w:rFonts w:ascii="Times New Roman" w:hAnsi="Times New Roman" w:cs="Times New Roman"/>
          <w:szCs w:val="20"/>
          <w:lang w:val="es"/>
        </w:rPr>
        <w:t>Si está construyendo o refaccionando, utilice solamente tuberías y materiales “libres de plomo” para la instalación de agua.</w:t>
      </w:r>
    </w:p>
    <w:p w:rsidR="00A217ED" w:rsidRPr="00C348EE" w:rsidRDefault="00A217ED" w:rsidP="00FA3CC0">
      <w:pPr>
        <w:pStyle w:val="Heading3"/>
        <w:spacing w:before="120" w:after="0"/>
        <w:rPr>
          <w:sz w:val="24"/>
          <w:szCs w:val="24"/>
        </w:rPr>
      </w:pPr>
    </w:p>
    <w:p w:rsidR="00FA3CC0" w:rsidRPr="00C348EE" w:rsidRDefault="00FA3CC0" w:rsidP="00FA3CC0">
      <w:pPr>
        <w:pStyle w:val="Heading3"/>
        <w:spacing w:before="120" w:after="0"/>
        <w:rPr>
          <w:sz w:val="24"/>
          <w:szCs w:val="24"/>
        </w:rPr>
      </w:pPr>
      <w:r w:rsidRPr="00C348EE">
        <w:rPr>
          <w:sz w:val="24"/>
          <w:szCs w:val="24"/>
          <w:lang w:val="es"/>
        </w:rPr>
        <w:t>Problemas de salud</w:t>
      </w:r>
    </w:p>
    <w:p w:rsidR="00FA3CC0" w:rsidRPr="00C348EE" w:rsidRDefault="00FA3CC0" w:rsidP="00FA3CC0">
      <w:pPr>
        <w:shd w:val="clear" w:color="auto" w:fill="FFFFFF"/>
        <w:spacing w:after="120"/>
        <w:textAlignment w:val="baseline"/>
        <w:rPr>
          <w:rFonts w:ascii="Times New Roman" w:hAnsi="Times New Roman" w:cs="Times New Roman"/>
          <w:shd w:val="clear" w:color="auto" w:fill="FFFFFF"/>
        </w:rPr>
      </w:pPr>
      <w:r w:rsidRPr="00C348EE">
        <w:rPr>
          <w:rFonts w:ascii="Times New Roman" w:hAnsi="Times New Roman" w:cs="Times New Roman"/>
          <w:shd w:val="clear" w:color="auto" w:fill="FFFFFF"/>
          <w:lang w:val="es"/>
        </w:rPr>
        <w:t>El plomo se encuentra en todas partes en el medio ambiente: en el aire, el suelo, el agua e incluso en el interior de los hogares. Una gran parte de nuestra exposición proviene del uso en el pasado de pintura a base de plomo, la gasolina con plomo y las industrias que emiten plomo. El plomo proveniente de todas estas fuentes puede contribuir a la exposición general al plomo de una persona.</w:t>
      </w:r>
    </w:p>
    <w:p w:rsidR="00FA3CC0" w:rsidRPr="00C348EE" w:rsidRDefault="00FA3CC0" w:rsidP="00FA3CC0">
      <w:pPr>
        <w:shd w:val="clear" w:color="auto" w:fill="FFFFFF"/>
        <w:spacing w:after="120"/>
        <w:textAlignment w:val="baseline"/>
        <w:rPr>
          <w:rFonts w:ascii="Times New Roman" w:hAnsi="Times New Roman" w:cs="Times New Roman"/>
        </w:rPr>
      </w:pPr>
      <w:r w:rsidRPr="00C348EE">
        <w:rPr>
          <w:rFonts w:ascii="Times New Roman" w:hAnsi="Times New Roman" w:cs="Times New Roman"/>
          <w:shd w:val="clear" w:color="auto" w:fill="FFFFFF"/>
          <w:lang w:val="es"/>
        </w:rPr>
        <w:t xml:space="preserve">Los niños menores de seis años son más susceptibles a los efectos del plomo debido a que su cerebro y su sistema nervioso aún se están desarrollando. </w:t>
      </w:r>
      <w:r w:rsidRPr="00C348EE">
        <w:rPr>
          <w:rFonts w:ascii="Times New Roman" w:hAnsi="Times New Roman" w:cs="Times New Roman"/>
          <w:lang w:val="es"/>
        </w:rPr>
        <w:t>Incluso los niveles muy bajos de plomo en la sangre de un niño pueden afectar su cociente intelectual, su capacidad de prestar atención y sus logros académicos. Los efectos de la exposición al plomo no se pueden corregir.</w:t>
      </w:r>
    </w:p>
    <w:p w:rsidR="00FA3CC0" w:rsidRPr="00C348EE" w:rsidRDefault="00FA3CC0" w:rsidP="00FA3CC0">
      <w:pPr>
        <w:spacing w:after="120"/>
        <w:rPr>
          <w:rFonts w:ascii="Times New Roman" w:hAnsi="Times New Roman" w:cs="Times New Roman"/>
          <w:shd w:val="clear" w:color="auto" w:fill="FFFFFF"/>
        </w:rPr>
      </w:pPr>
      <w:r w:rsidRPr="00C348EE">
        <w:rPr>
          <w:rFonts w:ascii="Times New Roman" w:hAnsi="Times New Roman" w:cs="Times New Roman"/>
          <w:shd w:val="clear" w:color="auto" w:fill="FFFFFF"/>
          <w:lang w:val="es"/>
        </w:rPr>
        <w:t>El plomo también es un motivo de preocupación para las mujeres embarazadas, debido a que puede afectar al bebé en desarrollo.</w:t>
      </w:r>
    </w:p>
    <w:p w:rsidR="00FA3CC0" w:rsidRPr="00462521" w:rsidRDefault="00FA3CC0" w:rsidP="00FA3CC0">
      <w:pPr>
        <w:rPr>
          <w:rFonts w:ascii="Times New Roman" w:hAnsi="Times New Roman" w:cs="Times New Roman"/>
          <w:shd w:val="clear" w:color="auto" w:fill="FFFFFF"/>
          <w:lang w:val="sv-SE"/>
        </w:rPr>
      </w:pPr>
      <w:r w:rsidRPr="00C348EE">
        <w:rPr>
          <w:rFonts w:ascii="Times New Roman" w:hAnsi="Times New Roman" w:cs="Times New Roman"/>
          <w:shd w:val="clear" w:color="auto" w:fill="FFFFFF"/>
          <w:lang w:val="es"/>
        </w:rPr>
        <w:t xml:space="preserve">Es posible que no haya síntomas claros de la toxicidad por plomo. Las personas que estuvieron expuestas al plomo pueden no evidenciar dicha exposición en la forma en que se ven o actúan. Si tiene alguna duda, hable con su proveedor de atención médica. La única forma de detectar si alguien tiene un nivel elevado de plomo en la sangre es realizar un análisis de sangre.  </w:t>
      </w:r>
    </w:p>
    <w:p w:rsidR="00A217ED" w:rsidRPr="00462521" w:rsidRDefault="00A217ED" w:rsidP="00FA3CC0">
      <w:pPr>
        <w:pStyle w:val="Heading3"/>
        <w:spacing w:before="0" w:after="0"/>
        <w:rPr>
          <w:rFonts w:asciiTheme="minorHAnsi" w:eastAsiaTheme="minorHAnsi" w:hAnsiTheme="minorHAnsi" w:cstheme="minorBidi"/>
          <w:b w:val="0"/>
          <w:bCs w:val="0"/>
          <w:sz w:val="20"/>
          <w:szCs w:val="20"/>
          <w:lang w:val="sv-SE"/>
        </w:rPr>
      </w:pPr>
    </w:p>
    <w:p w:rsidR="00FA3CC0" w:rsidRPr="00C348EE" w:rsidRDefault="00FA3CC0" w:rsidP="00FA3CC0">
      <w:pPr>
        <w:pStyle w:val="Heading3"/>
        <w:spacing w:before="0" w:after="0"/>
        <w:rPr>
          <w:sz w:val="24"/>
          <w:szCs w:val="24"/>
        </w:rPr>
      </w:pPr>
      <w:r w:rsidRPr="00C348EE">
        <w:rPr>
          <w:sz w:val="24"/>
          <w:szCs w:val="24"/>
          <w:lang w:val="es"/>
        </w:rPr>
        <w:t>Más información</w:t>
      </w:r>
    </w:p>
    <w:p w:rsidR="00FA3CC0" w:rsidRPr="00C348EE" w:rsidRDefault="00FA3CC0" w:rsidP="00FA3CC0">
      <w:pPr>
        <w:pStyle w:val="BodyText"/>
        <w:tabs>
          <w:tab w:val="left" w:pos="4860"/>
          <w:tab w:val="right" w:pos="6480"/>
        </w:tabs>
        <w:spacing w:before="120"/>
        <w:ind w:right="-630"/>
        <w:rPr>
          <w:szCs w:val="20"/>
        </w:rPr>
      </w:pPr>
      <w:r w:rsidRPr="00C348EE">
        <w:rPr>
          <w:rFonts w:ascii="Times New Roman" w:hAnsi="Times New Roman"/>
          <w:color w:val="000000"/>
          <w:szCs w:val="20"/>
          <w:lang w:val="es"/>
        </w:rPr>
        <w:t xml:space="preserve">Visite el sitio web de la </w:t>
      </w:r>
      <w:r w:rsidRPr="00C348EE">
        <w:rPr>
          <w:rFonts w:ascii="Times New Roman" w:hAnsi="Times New Roman"/>
          <w:szCs w:val="20"/>
          <w:lang w:val="es"/>
        </w:rPr>
        <w:t>Office of Drinking Water (Oficina del Agua Potable) en</w:t>
      </w:r>
      <w:r w:rsidRPr="00C348EE">
        <w:rPr>
          <w:szCs w:val="20"/>
          <w:lang w:val="es"/>
        </w:rPr>
        <w:t xml:space="preserve"> </w:t>
      </w:r>
      <w:hyperlink r:id="rId6" w:history="1">
        <w:r w:rsidRPr="00C348EE">
          <w:rPr>
            <w:rStyle w:val="Hyperlink"/>
            <w:szCs w:val="20"/>
            <w:lang w:val="es"/>
          </w:rPr>
          <w:t>http://www.doh.wa.gov/CommunityandEnvironment/DrinkingWater</w:t>
        </w:r>
      </w:hyperlink>
      <w:r w:rsidRPr="00C348EE">
        <w:rPr>
          <w:szCs w:val="20"/>
          <w:lang w:val="es"/>
        </w:rPr>
        <w:t xml:space="preserve"> o llame a los siguientes números</w:t>
      </w:r>
      <w:r w:rsidRPr="00C348EE">
        <w:rPr>
          <w:color w:val="000000"/>
          <w:szCs w:val="20"/>
          <w:lang w:val="es"/>
        </w:rPr>
        <w:t>:</w:t>
      </w:r>
    </w:p>
    <w:p w:rsidR="00FA3CC0" w:rsidRPr="00C348EE" w:rsidRDefault="00FA3CC0" w:rsidP="00FA3CC0">
      <w:pPr>
        <w:pStyle w:val="BodyText"/>
        <w:tabs>
          <w:tab w:val="left" w:pos="3780"/>
        </w:tabs>
        <w:spacing w:after="60"/>
        <w:ind w:left="360"/>
        <w:rPr>
          <w:rFonts w:ascii="Times New Roman" w:hAnsi="Times New Roman" w:cs="Times New Roman"/>
          <w:szCs w:val="20"/>
        </w:rPr>
      </w:pPr>
      <w:r w:rsidRPr="00C348EE">
        <w:rPr>
          <w:rFonts w:ascii="Times New Roman" w:hAnsi="Times New Roman" w:cs="Times New Roman"/>
          <w:b/>
          <w:bCs/>
          <w:szCs w:val="20"/>
          <w:lang w:val="es"/>
        </w:rPr>
        <w:t>Región sudoeste, Tumwater</w:t>
      </w:r>
      <w:r w:rsidRPr="00C348EE">
        <w:rPr>
          <w:rFonts w:ascii="Times New Roman" w:hAnsi="Times New Roman" w:cs="Times New Roman"/>
          <w:szCs w:val="20"/>
          <w:lang w:val="es"/>
        </w:rPr>
        <w:tab/>
      </w:r>
      <w:r w:rsidRPr="00C348EE">
        <w:rPr>
          <w:rFonts w:ascii="Times New Roman" w:hAnsi="Times New Roman" w:cs="Times New Roman"/>
          <w:szCs w:val="20"/>
          <w:lang w:val="es"/>
        </w:rPr>
        <w:tab/>
        <w:t>360-236-3030</w:t>
      </w:r>
    </w:p>
    <w:p w:rsidR="00FA3CC0" w:rsidRPr="00C348EE" w:rsidRDefault="00FA3CC0" w:rsidP="00FA3CC0">
      <w:pPr>
        <w:pStyle w:val="BodyText"/>
        <w:tabs>
          <w:tab w:val="left" w:pos="4320"/>
          <w:tab w:val="right" w:pos="6480"/>
        </w:tabs>
        <w:spacing w:after="60"/>
        <w:ind w:left="360"/>
        <w:rPr>
          <w:rFonts w:ascii="Times New Roman" w:hAnsi="Times New Roman" w:cs="Times New Roman"/>
          <w:szCs w:val="20"/>
        </w:rPr>
      </w:pPr>
      <w:r w:rsidRPr="00C348EE">
        <w:rPr>
          <w:rFonts w:ascii="Times New Roman" w:hAnsi="Times New Roman" w:cs="Times New Roman"/>
          <w:b/>
          <w:bCs/>
          <w:szCs w:val="20"/>
          <w:lang w:val="es"/>
        </w:rPr>
        <w:t xml:space="preserve">Región noroeste, Kent </w:t>
      </w:r>
      <w:r w:rsidRPr="00C348EE">
        <w:rPr>
          <w:rFonts w:ascii="Times New Roman" w:hAnsi="Times New Roman" w:cs="Times New Roman"/>
          <w:szCs w:val="20"/>
          <w:lang w:val="es"/>
        </w:rPr>
        <w:tab/>
        <w:t>253-395-6750</w:t>
      </w:r>
    </w:p>
    <w:p w:rsidR="00FA3CC0" w:rsidRPr="00C348EE" w:rsidRDefault="00FA3CC0" w:rsidP="00FA3CC0">
      <w:pPr>
        <w:pStyle w:val="BodyText"/>
        <w:tabs>
          <w:tab w:val="left" w:pos="4320"/>
          <w:tab w:val="right" w:pos="6480"/>
        </w:tabs>
        <w:spacing w:after="60"/>
        <w:ind w:left="360"/>
        <w:rPr>
          <w:rFonts w:ascii="Times New Roman" w:hAnsi="Times New Roman" w:cs="Times New Roman"/>
          <w:szCs w:val="20"/>
        </w:rPr>
      </w:pPr>
      <w:r w:rsidRPr="00C348EE">
        <w:rPr>
          <w:rFonts w:ascii="Times New Roman" w:hAnsi="Times New Roman" w:cs="Times New Roman"/>
          <w:b/>
          <w:bCs/>
          <w:szCs w:val="20"/>
          <w:lang w:val="es"/>
        </w:rPr>
        <w:t>Región este, Spokane Valley</w:t>
      </w:r>
      <w:r w:rsidRPr="00C348EE">
        <w:rPr>
          <w:rFonts w:ascii="Times New Roman" w:hAnsi="Times New Roman" w:cs="Times New Roman"/>
          <w:szCs w:val="20"/>
          <w:lang w:val="es"/>
        </w:rPr>
        <w:tab/>
        <w:t>509-329-2100</w:t>
      </w:r>
    </w:p>
    <w:p w:rsidR="00FA3CC0" w:rsidRPr="00C348EE" w:rsidRDefault="00FA3CC0" w:rsidP="00FA3CC0">
      <w:pPr>
        <w:pStyle w:val="BodyText"/>
        <w:tabs>
          <w:tab w:val="left" w:pos="4320"/>
          <w:tab w:val="right" w:pos="6480"/>
        </w:tabs>
        <w:spacing w:before="120"/>
        <w:ind w:left="360"/>
        <w:rPr>
          <w:rFonts w:ascii="Times New Roman" w:hAnsi="Times New Roman" w:cs="Times New Roman"/>
          <w:szCs w:val="20"/>
        </w:rPr>
      </w:pPr>
      <w:r w:rsidRPr="00C348EE">
        <w:rPr>
          <w:rFonts w:ascii="Times New Roman" w:hAnsi="Times New Roman" w:cs="Times New Roman"/>
          <w:b/>
          <w:bCs/>
          <w:szCs w:val="20"/>
          <w:lang w:val="es"/>
        </w:rPr>
        <w:t>Información general</w:t>
      </w:r>
      <w:r w:rsidRPr="00C348EE">
        <w:rPr>
          <w:rFonts w:ascii="Times New Roman" w:hAnsi="Times New Roman" w:cs="Times New Roman"/>
          <w:szCs w:val="20"/>
          <w:lang w:val="es"/>
        </w:rPr>
        <w:tab/>
        <w:t>800-521-0323</w:t>
      </w:r>
    </w:p>
    <w:p w:rsidR="00FA3CC0" w:rsidRPr="00C348EE" w:rsidRDefault="00FA3CC0" w:rsidP="00A217ED">
      <w:pPr>
        <w:pStyle w:val="BodyText"/>
        <w:spacing w:before="240" w:after="240"/>
        <w:rPr>
          <w:rFonts w:ascii="Times New Roman" w:hAnsi="Times New Roman" w:cs="Times New Roman"/>
          <w:szCs w:val="20"/>
        </w:rPr>
      </w:pPr>
      <w:r w:rsidRPr="00C348EE">
        <w:rPr>
          <w:rFonts w:ascii="Times New Roman" w:hAnsi="Times New Roman"/>
          <w:szCs w:val="20"/>
          <w:lang w:val="es"/>
        </w:rPr>
        <w:t>Visite el Childhood Lead Poisoning Prevention Program (Programa de Prevención de Envenenamiento por Plomo en los Niños) del Department of Health (Departamento de Salud) en</w:t>
      </w:r>
      <w:r w:rsidRPr="00C348EE">
        <w:rPr>
          <w:szCs w:val="20"/>
          <w:lang w:val="es"/>
        </w:rPr>
        <w:t xml:space="preserve"> </w:t>
      </w:r>
      <w:hyperlink r:id="rId7" w:history="1">
        <w:r w:rsidRPr="00C348EE">
          <w:rPr>
            <w:rStyle w:val="Hyperlink"/>
            <w:szCs w:val="20"/>
            <w:lang w:val="es"/>
          </w:rPr>
          <w:t xml:space="preserve">http://www.doh.wa.gov/lead </w:t>
        </w:r>
        <w:r w:rsidRPr="00C348EE">
          <w:rPr>
            <w:rStyle w:val="Hyperlink"/>
            <w:rFonts w:ascii="Times New Roman" w:hAnsi="Times New Roman"/>
            <w:szCs w:val="20"/>
            <w:lang w:val="es"/>
          </w:rPr>
          <w:t>o llame al 800-909-9898</w:t>
        </w:r>
      </w:hyperlink>
      <w:r w:rsidRPr="00C348EE">
        <w:rPr>
          <w:rFonts w:ascii="Times New Roman" w:hAnsi="Times New Roman"/>
          <w:szCs w:val="20"/>
          <w:lang w:val="es"/>
        </w:rPr>
        <w:t>.</w:t>
      </w:r>
    </w:p>
    <w:p w:rsidR="006B1E0D" w:rsidRPr="00C348EE" w:rsidRDefault="006B1E0D" w:rsidP="00A217ED">
      <w:pPr>
        <w:spacing w:after="120"/>
        <w:rPr>
          <w:rFonts w:ascii="Times New Roman" w:hAnsi="Times New Roman" w:cs="Times New Roman"/>
        </w:rPr>
      </w:pPr>
      <w:r w:rsidRPr="00C348EE">
        <w:rPr>
          <w:rFonts w:ascii="Times New Roman" w:hAnsi="Times New Roman" w:cs="Times New Roman"/>
          <w:szCs w:val="20"/>
          <w:lang w:val="es"/>
        </w:rPr>
        <w:t>Visite la Laboratory Accreditation Unit (Unidad de Acreditación de Laboratorios) del Department of Ecology para obtener la lista de laboratorios de agua potable acreditados en</w:t>
      </w:r>
      <w:r w:rsidRPr="00C348EE">
        <w:rPr>
          <w:rFonts w:ascii="Times New Roman" w:hAnsi="Times New Roman" w:cs="Times New Roman"/>
          <w:lang w:val="es"/>
        </w:rPr>
        <w:t xml:space="preserve"> </w:t>
      </w:r>
      <w:hyperlink r:id="rId8" w:history="1">
        <w:r w:rsidRPr="00C348EE">
          <w:rPr>
            <w:rStyle w:val="Hyperlink"/>
            <w:rFonts w:ascii="Times New Roman" w:hAnsi="Times New Roman" w:cs="Times New Roman"/>
            <w:lang w:val="es"/>
          </w:rPr>
          <w:t>http://www.ecy.wa.gov/programs/eap/labs/documents/DWLabs_WAByCounty.pdf</w:t>
        </w:r>
      </w:hyperlink>
      <w:r w:rsidRPr="00C348EE">
        <w:rPr>
          <w:sz w:val="20"/>
          <w:szCs w:val="20"/>
          <w:lang w:val="es"/>
        </w:rPr>
        <w:t>.</w:t>
      </w:r>
      <w:r w:rsidRPr="00C348EE">
        <w:rPr>
          <w:rFonts w:ascii="Times New Roman" w:hAnsi="Times New Roman" w:cs="Times New Roman"/>
          <w:lang w:val="es"/>
        </w:rPr>
        <w:t xml:space="preserve"> </w:t>
      </w:r>
    </w:p>
    <w:p w:rsidR="00A217ED" w:rsidRPr="00C348EE" w:rsidRDefault="00A217ED" w:rsidP="00FA3CC0">
      <w:pPr>
        <w:pStyle w:val="BodyText"/>
        <w:spacing w:line="260" w:lineRule="exact"/>
        <w:rPr>
          <w:rFonts w:ascii="Times New Roman" w:hAnsi="Times New Roman" w:cs="Times New Roman"/>
        </w:rPr>
      </w:pPr>
    </w:p>
    <w:p w:rsidR="00FA3CC0" w:rsidRPr="00C348EE" w:rsidRDefault="00FA3CC0" w:rsidP="00FA3CC0">
      <w:pPr>
        <w:pStyle w:val="BodyText"/>
        <w:spacing w:line="260" w:lineRule="exact"/>
        <w:rPr>
          <w:rFonts w:ascii="Times New Roman" w:hAnsi="Times New Roman" w:cs="Times New Roman"/>
        </w:rPr>
      </w:pPr>
      <w:r w:rsidRPr="00C348EE">
        <w:rPr>
          <w:rFonts w:ascii="Times New Roman" w:hAnsi="Times New Roman" w:cs="Times New Roman"/>
          <w:lang w:val="es"/>
        </w:rPr>
        <w:t>Si necesita esta publicación en un formato alternativo, llame al 800-525-0127 (TDD/TTY 711).</w:t>
      </w:r>
    </w:p>
    <w:p w:rsidR="00FA3CC0" w:rsidRPr="00C348EE" w:rsidRDefault="00FA3CC0" w:rsidP="00FA3CC0">
      <w:pPr>
        <w:pStyle w:val="BodyText"/>
        <w:spacing w:line="260" w:lineRule="exact"/>
        <w:rPr>
          <w:rFonts w:ascii="Segoe UI" w:hAnsi="Segoe UI" w:cs="Segoe UI"/>
          <w:sz w:val="20"/>
          <w:szCs w:val="20"/>
        </w:rPr>
      </w:pPr>
      <w:r w:rsidRPr="00C348EE">
        <w:rPr>
          <w:rFonts w:ascii="Times New Roman" w:hAnsi="Times New Roman" w:cs="Segoe UI"/>
          <w:lang w:val="es"/>
        </w:rPr>
        <w:t>Estas y otras publicaciones están disponibles en</w:t>
      </w:r>
      <w:r w:rsidRPr="00C348EE">
        <w:rPr>
          <w:rFonts w:ascii="Segoe UI" w:hAnsi="Segoe UI" w:cs="Segoe UI"/>
          <w:sz w:val="20"/>
          <w:szCs w:val="20"/>
          <w:lang w:val="es"/>
        </w:rPr>
        <w:t xml:space="preserve"> </w:t>
      </w:r>
      <w:hyperlink r:id="rId9" w:history="1">
        <w:r w:rsidRPr="00C348EE">
          <w:rPr>
            <w:rStyle w:val="Hyperlink"/>
            <w:rFonts w:ascii="Segoe UI" w:hAnsi="Segoe UI" w:cs="Segoe UI"/>
            <w:sz w:val="20"/>
            <w:szCs w:val="20"/>
            <w:lang w:val="es"/>
          </w:rPr>
          <w:t>www.doh.gov/eph/dw</w:t>
        </w:r>
      </w:hyperlink>
      <w:r w:rsidRPr="00C348EE">
        <w:rPr>
          <w:rFonts w:ascii="Segoe UI" w:hAnsi="Segoe UI" w:cs="Segoe UI"/>
          <w:sz w:val="20"/>
          <w:szCs w:val="20"/>
          <w:lang w:val="es"/>
        </w:rPr>
        <w:t>.</w:t>
      </w:r>
    </w:p>
    <w:p w:rsidR="00FA3CC0" w:rsidRPr="00C348EE" w:rsidRDefault="00FA3CC0" w:rsidP="00FA3CC0">
      <w:pPr>
        <w:pStyle w:val="BodyText"/>
        <w:spacing w:before="240" w:after="240"/>
        <w:rPr>
          <w:szCs w:val="20"/>
        </w:rPr>
      </w:pPr>
    </w:p>
    <w:p w:rsidR="00FA3CC0" w:rsidRPr="00C348EE" w:rsidRDefault="00FA3CC0" w:rsidP="00FA3CC0">
      <w:pPr>
        <w:pStyle w:val="BodyText"/>
        <w:spacing w:after="240"/>
        <w:rPr>
          <w:szCs w:val="20"/>
        </w:rPr>
      </w:pPr>
    </w:p>
    <w:p w:rsidR="00FA3CC0" w:rsidRPr="00C348EE" w:rsidRDefault="00FA3CC0">
      <w:pPr>
        <w:rPr>
          <w:sz w:val="20"/>
          <w:szCs w:val="20"/>
        </w:rPr>
      </w:pPr>
    </w:p>
    <w:sectPr w:rsidR="00FA3CC0" w:rsidRPr="00C348EE" w:rsidSect="00C348E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29"/>
    <w:multiLevelType w:val="hybridMultilevel"/>
    <w:tmpl w:val="21E0F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131C3"/>
    <w:multiLevelType w:val="hybridMultilevel"/>
    <w:tmpl w:val="78C2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3519C"/>
    <w:multiLevelType w:val="hybridMultilevel"/>
    <w:tmpl w:val="0AC0B8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9740F"/>
    <w:multiLevelType w:val="hybridMultilevel"/>
    <w:tmpl w:val="7E3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26EF4"/>
    <w:multiLevelType w:val="hybridMultilevel"/>
    <w:tmpl w:val="AAFE7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622A2"/>
    <w:multiLevelType w:val="hybridMultilevel"/>
    <w:tmpl w:val="951CF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A95A73"/>
    <w:multiLevelType w:val="hybridMultilevel"/>
    <w:tmpl w:val="D81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E7197"/>
    <w:multiLevelType w:val="hybridMultilevel"/>
    <w:tmpl w:val="0A5A7B1A"/>
    <w:lvl w:ilvl="0" w:tplc="D194C6AE">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C0"/>
    <w:rsid w:val="00021BB9"/>
    <w:rsid w:val="00080F42"/>
    <w:rsid w:val="00376DC5"/>
    <w:rsid w:val="003875FC"/>
    <w:rsid w:val="00387DE6"/>
    <w:rsid w:val="00462521"/>
    <w:rsid w:val="00607AFB"/>
    <w:rsid w:val="006B1E0D"/>
    <w:rsid w:val="0081367F"/>
    <w:rsid w:val="00A217ED"/>
    <w:rsid w:val="00A76A77"/>
    <w:rsid w:val="00AB786B"/>
    <w:rsid w:val="00B947CF"/>
    <w:rsid w:val="00C348EE"/>
    <w:rsid w:val="00E13E54"/>
    <w:rsid w:val="00EC7CCF"/>
    <w:rsid w:val="00FA3CC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3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A3C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A3CC0"/>
    <w:pPr>
      <w:spacing w:after="0" w:line="240" w:lineRule="auto"/>
    </w:pPr>
    <w:rPr>
      <w:rFonts w:ascii="Arial" w:eastAsia="Times New Roman" w:hAnsi="Arial" w:cs="Arial"/>
      <w:b/>
      <w:bCs/>
      <w:sz w:val="72"/>
      <w:szCs w:val="24"/>
    </w:rPr>
  </w:style>
  <w:style w:type="character" w:customStyle="1" w:styleId="BodyText2Char">
    <w:name w:val="Body Text 2 Char"/>
    <w:basedOn w:val="DefaultParagraphFont"/>
    <w:link w:val="BodyText2"/>
    <w:rsid w:val="00FA3CC0"/>
    <w:rPr>
      <w:rFonts w:ascii="Arial" w:eastAsia="Times New Roman" w:hAnsi="Arial" w:cs="Arial"/>
      <w:b/>
      <w:bCs/>
      <w:sz w:val="72"/>
      <w:szCs w:val="24"/>
    </w:rPr>
  </w:style>
  <w:style w:type="paragraph" w:styleId="BodyText">
    <w:name w:val="Body Text"/>
    <w:basedOn w:val="Normal"/>
    <w:link w:val="BodyTextChar"/>
    <w:uiPriority w:val="99"/>
    <w:semiHidden/>
    <w:unhideWhenUsed/>
    <w:rsid w:val="00FA3CC0"/>
    <w:pPr>
      <w:spacing w:after="120"/>
    </w:pPr>
  </w:style>
  <w:style w:type="character" w:customStyle="1" w:styleId="BodyTextChar">
    <w:name w:val="Body Text Char"/>
    <w:basedOn w:val="DefaultParagraphFont"/>
    <w:link w:val="BodyText"/>
    <w:uiPriority w:val="99"/>
    <w:semiHidden/>
    <w:rsid w:val="00FA3CC0"/>
  </w:style>
  <w:style w:type="character" w:customStyle="1" w:styleId="Heading3Char">
    <w:name w:val="Heading 3 Char"/>
    <w:basedOn w:val="DefaultParagraphFont"/>
    <w:link w:val="Heading3"/>
    <w:rsid w:val="00FA3CC0"/>
    <w:rPr>
      <w:rFonts w:ascii="Arial" w:eastAsia="Times New Roman" w:hAnsi="Arial" w:cs="Arial"/>
      <w:b/>
      <w:bCs/>
      <w:sz w:val="26"/>
      <w:szCs w:val="26"/>
    </w:rPr>
  </w:style>
  <w:style w:type="character" w:styleId="Hyperlink">
    <w:name w:val="Hyperlink"/>
    <w:rsid w:val="00FA3CC0"/>
    <w:rPr>
      <w:color w:val="0000FF"/>
      <w:u w:val="single"/>
    </w:rPr>
  </w:style>
  <w:style w:type="character" w:customStyle="1" w:styleId="Heading2Char">
    <w:name w:val="Heading 2 Char"/>
    <w:basedOn w:val="DefaultParagraphFont"/>
    <w:link w:val="Heading2"/>
    <w:uiPriority w:val="9"/>
    <w:semiHidden/>
    <w:rsid w:val="00FA3CC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2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B9"/>
    <w:rPr>
      <w:rFonts w:ascii="Tahoma" w:hAnsi="Tahoma" w:cs="Tahoma"/>
      <w:sz w:val="16"/>
      <w:szCs w:val="16"/>
    </w:rPr>
  </w:style>
  <w:style w:type="character" w:styleId="CommentReference">
    <w:name w:val="annotation reference"/>
    <w:basedOn w:val="DefaultParagraphFont"/>
    <w:uiPriority w:val="99"/>
    <w:semiHidden/>
    <w:unhideWhenUsed/>
    <w:rsid w:val="00080F42"/>
    <w:rPr>
      <w:sz w:val="16"/>
      <w:szCs w:val="16"/>
    </w:rPr>
  </w:style>
  <w:style w:type="paragraph" w:styleId="CommentText">
    <w:name w:val="annotation text"/>
    <w:basedOn w:val="Normal"/>
    <w:link w:val="CommentTextChar"/>
    <w:uiPriority w:val="99"/>
    <w:semiHidden/>
    <w:unhideWhenUsed/>
    <w:rsid w:val="00080F42"/>
    <w:pPr>
      <w:spacing w:line="240" w:lineRule="auto"/>
    </w:pPr>
    <w:rPr>
      <w:sz w:val="20"/>
      <w:szCs w:val="20"/>
    </w:rPr>
  </w:style>
  <w:style w:type="character" w:customStyle="1" w:styleId="CommentTextChar">
    <w:name w:val="Comment Text Char"/>
    <w:basedOn w:val="DefaultParagraphFont"/>
    <w:link w:val="CommentText"/>
    <w:uiPriority w:val="99"/>
    <w:semiHidden/>
    <w:rsid w:val="00080F42"/>
    <w:rPr>
      <w:sz w:val="20"/>
      <w:szCs w:val="20"/>
    </w:rPr>
  </w:style>
  <w:style w:type="paragraph" w:styleId="CommentSubject">
    <w:name w:val="annotation subject"/>
    <w:basedOn w:val="CommentText"/>
    <w:next w:val="CommentText"/>
    <w:link w:val="CommentSubjectChar"/>
    <w:uiPriority w:val="99"/>
    <w:semiHidden/>
    <w:unhideWhenUsed/>
    <w:rsid w:val="00080F42"/>
    <w:rPr>
      <w:b/>
      <w:bCs/>
    </w:rPr>
  </w:style>
  <w:style w:type="character" w:customStyle="1" w:styleId="CommentSubjectChar">
    <w:name w:val="Comment Subject Char"/>
    <w:basedOn w:val="CommentTextChar"/>
    <w:link w:val="CommentSubject"/>
    <w:uiPriority w:val="99"/>
    <w:semiHidden/>
    <w:rsid w:val="00080F42"/>
    <w:rPr>
      <w:b/>
      <w:bCs/>
      <w:sz w:val="20"/>
      <w:szCs w:val="20"/>
    </w:rPr>
  </w:style>
  <w:style w:type="character" w:styleId="FollowedHyperlink">
    <w:name w:val="FollowedHyperlink"/>
    <w:basedOn w:val="DefaultParagraphFont"/>
    <w:uiPriority w:val="99"/>
    <w:semiHidden/>
    <w:unhideWhenUsed/>
    <w:rsid w:val="00A217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3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A3C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A3CC0"/>
    <w:pPr>
      <w:spacing w:after="0" w:line="240" w:lineRule="auto"/>
    </w:pPr>
    <w:rPr>
      <w:rFonts w:ascii="Arial" w:eastAsia="Times New Roman" w:hAnsi="Arial" w:cs="Arial"/>
      <w:b/>
      <w:bCs/>
      <w:sz w:val="72"/>
      <w:szCs w:val="24"/>
    </w:rPr>
  </w:style>
  <w:style w:type="character" w:customStyle="1" w:styleId="BodyText2Char">
    <w:name w:val="Body Text 2 Char"/>
    <w:basedOn w:val="DefaultParagraphFont"/>
    <w:link w:val="BodyText2"/>
    <w:rsid w:val="00FA3CC0"/>
    <w:rPr>
      <w:rFonts w:ascii="Arial" w:eastAsia="Times New Roman" w:hAnsi="Arial" w:cs="Arial"/>
      <w:b/>
      <w:bCs/>
      <w:sz w:val="72"/>
      <w:szCs w:val="24"/>
    </w:rPr>
  </w:style>
  <w:style w:type="paragraph" w:styleId="BodyText">
    <w:name w:val="Body Text"/>
    <w:basedOn w:val="Normal"/>
    <w:link w:val="BodyTextChar"/>
    <w:uiPriority w:val="99"/>
    <w:semiHidden/>
    <w:unhideWhenUsed/>
    <w:rsid w:val="00FA3CC0"/>
    <w:pPr>
      <w:spacing w:after="120"/>
    </w:pPr>
  </w:style>
  <w:style w:type="character" w:customStyle="1" w:styleId="BodyTextChar">
    <w:name w:val="Body Text Char"/>
    <w:basedOn w:val="DefaultParagraphFont"/>
    <w:link w:val="BodyText"/>
    <w:uiPriority w:val="99"/>
    <w:semiHidden/>
    <w:rsid w:val="00FA3CC0"/>
  </w:style>
  <w:style w:type="character" w:customStyle="1" w:styleId="Heading3Char">
    <w:name w:val="Heading 3 Char"/>
    <w:basedOn w:val="DefaultParagraphFont"/>
    <w:link w:val="Heading3"/>
    <w:rsid w:val="00FA3CC0"/>
    <w:rPr>
      <w:rFonts w:ascii="Arial" w:eastAsia="Times New Roman" w:hAnsi="Arial" w:cs="Arial"/>
      <w:b/>
      <w:bCs/>
      <w:sz w:val="26"/>
      <w:szCs w:val="26"/>
    </w:rPr>
  </w:style>
  <w:style w:type="character" w:styleId="Hyperlink">
    <w:name w:val="Hyperlink"/>
    <w:rsid w:val="00FA3CC0"/>
    <w:rPr>
      <w:color w:val="0000FF"/>
      <w:u w:val="single"/>
    </w:rPr>
  </w:style>
  <w:style w:type="character" w:customStyle="1" w:styleId="Heading2Char">
    <w:name w:val="Heading 2 Char"/>
    <w:basedOn w:val="DefaultParagraphFont"/>
    <w:link w:val="Heading2"/>
    <w:uiPriority w:val="9"/>
    <w:semiHidden/>
    <w:rsid w:val="00FA3CC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2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B9"/>
    <w:rPr>
      <w:rFonts w:ascii="Tahoma" w:hAnsi="Tahoma" w:cs="Tahoma"/>
      <w:sz w:val="16"/>
      <w:szCs w:val="16"/>
    </w:rPr>
  </w:style>
  <w:style w:type="character" w:styleId="CommentReference">
    <w:name w:val="annotation reference"/>
    <w:basedOn w:val="DefaultParagraphFont"/>
    <w:uiPriority w:val="99"/>
    <w:semiHidden/>
    <w:unhideWhenUsed/>
    <w:rsid w:val="00080F42"/>
    <w:rPr>
      <w:sz w:val="16"/>
      <w:szCs w:val="16"/>
    </w:rPr>
  </w:style>
  <w:style w:type="paragraph" w:styleId="CommentText">
    <w:name w:val="annotation text"/>
    <w:basedOn w:val="Normal"/>
    <w:link w:val="CommentTextChar"/>
    <w:uiPriority w:val="99"/>
    <w:semiHidden/>
    <w:unhideWhenUsed/>
    <w:rsid w:val="00080F42"/>
    <w:pPr>
      <w:spacing w:line="240" w:lineRule="auto"/>
    </w:pPr>
    <w:rPr>
      <w:sz w:val="20"/>
      <w:szCs w:val="20"/>
    </w:rPr>
  </w:style>
  <w:style w:type="character" w:customStyle="1" w:styleId="CommentTextChar">
    <w:name w:val="Comment Text Char"/>
    <w:basedOn w:val="DefaultParagraphFont"/>
    <w:link w:val="CommentText"/>
    <w:uiPriority w:val="99"/>
    <w:semiHidden/>
    <w:rsid w:val="00080F42"/>
    <w:rPr>
      <w:sz w:val="20"/>
      <w:szCs w:val="20"/>
    </w:rPr>
  </w:style>
  <w:style w:type="paragraph" w:styleId="CommentSubject">
    <w:name w:val="annotation subject"/>
    <w:basedOn w:val="CommentText"/>
    <w:next w:val="CommentText"/>
    <w:link w:val="CommentSubjectChar"/>
    <w:uiPriority w:val="99"/>
    <w:semiHidden/>
    <w:unhideWhenUsed/>
    <w:rsid w:val="00080F42"/>
    <w:rPr>
      <w:b/>
      <w:bCs/>
    </w:rPr>
  </w:style>
  <w:style w:type="character" w:customStyle="1" w:styleId="CommentSubjectChar">
    <w:name w:val="Comment Subject Char"/>
    <w:basedOn w:val="CommentTextChar"/>
    <w:link w:val="CommentSubject"/>
    <w:uiPriority w:val="99"/>
    <w:semiHidden/>
    <w:rsid w:val="00080F42"/>
    <w:rPr>
      <w:b/>
      <w:bCs/>
      <w:sz w:val="20"/>
      <w:szCs w:val="20"/>
    </w:rPr>
  </w:style>
  <w:style w:type="character" w:styleId="FollowedHyperlink">
    <w:name w:val="FollowedHyperlink"/>
    <w:basedOn w:val="DefaultParagraphFont"/>
    <w:uiPriority w:val="99"/>
    <w:semiHidden/>
    <w:unhideWhenUsed/>
    <w:rsid w:val="00A21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y.wa.gov/programs/eap/labs/documents/DWLabs_WAByCounty.pdf%20%20" TargetMode="External"/><Relationship Id="rId3" Type="http://schemas.microsoft.com/office/2007/relationships/stylesWithEffects" Target="stylesWithEffects.xml"/><Relationship Id="rId7" Type="http://schemas.openxmlformats.org/officeDocument/2006/relationships/hyperlink" Target="http://www.doh.wa.gov/lead%20or%20call%20800-909-9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h.wa.gov/CommunityandEnvironment/DrinkingWa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h.gov/eph/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Paula J (DOH)</dc:creator>
  <cp:lastModifiedBy>hdadmin</cp:lastModifiedBy>
  <cp:revision>2</cp:revision>
  <dcterms:created xsi:type="dcterms:W3CDTF">2016-05-16T17:47:00Z</dcterms:created>
  <dcterms:modified xsi:type="dcterms:W3CDTF">2016-05-16T17:47:00Z</dcterms:modified>
</cp:coreProperties>
</file>